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06765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67658" w:rsidRDefault="00915862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067658" w:rsidRDefault="00915862">
            <w:pPr>
              <w:spacing w:after="0" w:line="240" w:lineRule="auto"/>
            </w:pPr>
            <w:r>
              <w:t>29935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67658" w:rsidRDefault="00915862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067658" w:rsidRDefault="00915862">
            <w:pPr>
              <w:spacing w:after="0" w:line="240" w:lineRule="auto"/>
            </w:pPr>
            <w:r>
              <w:t>OPĆINA PRIMORSKI DOLAC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67658" w:rsidRDefault="00915862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067658" w:rsidRDefault="00915862">
            <w:pPr>
              <w:spacing w:after="0" w:line="240" w:lineRule="auto"/>
            </w:pPr>
            <w:r>
              <w:t>22</w:t>
            </w:r>
          </w:p>
        </w:tc>
      </w:tr>
    </w:tbl>
    <w:p w:rsidR="00067658" w:rsidRDefault="00915862">
      <w:r>
        <w:br/>
      </w:r>
    </w:p>
    <w:p w:rsidR="00067658" w:rsidRDefault="00915862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067658" w:rsidRDefault="00915862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067658" w:rsidRDefault="00915862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476.304,65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900.716,41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189,1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505.943,93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581.962,40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06765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318.754,01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204.045,64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19.823,68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9,7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200.049,46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181.134,09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90,5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06765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161.310,41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06765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06765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157.443,60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Općina Primorski Dolac za promatrano razdoblje ostvarila je višak prihoda i primitaka u iznosu od 157.443,60€. Kad mu se doda preneseni manjak prihoda i primitaka u iznosu od 2.210.245,52€ onda ukupni manjak prihoda i primitaka za pokriće u sljedećem razdo</w:t>
      </w:r>
      <w:r>
        <w:t>blju iznosi 2.052.801,92€. U 2025. godini izvršeno je usklađenje obveza po očevidniku FINE tako da je znatno povećan manjak prihoda i primitaka u odnosu na početno stanje 2025. godine. Za pokriće navedenog manjka Općina Primorski Dolac je podnijela zahtjev</w:t>
      </w:r>
      <w:r>
        <w:t xml:space="preserve"> Ministarstvu </w:t>
      </w:r>
      <w:r>
        <w:lastRenderedPageBreak/>
        <w:t>financija za dobivanje bezkamatnog zajma na rok otplate od 20 godina te bi s tim sredstvima pokrila navedene dugove i izišla iz blokade.</w:t>
      </w:r>
    </w:p>
    <w:p w:rsidR="00067658" w:rsidRDefault="00915862">
      <w:r>
        <w:br/>
      </w:r>
    </w:p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476.304,65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900.716,41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189,1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Prihodi poslovanja u odnosu na isto izvještajno razdoblje prethodne godine porasli su za 89,1%. Najveći razlog je pomoć iz državnog proračuna za rekonstrukciju sportske dvorane u iznosu od 405.000,00€.</w:t>
      </w:r>
    </w:p>
    <w:p w:rsidR="00067658" w:rsidRDefault="00915862">
      <w:r>
        <w:t> 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poreza (šifre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119.126,29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129.039,82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108,3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Prihodi od poreza u odnosu na izvještajno razdoblje prethodne godine veći su za 8,3% i to povećanje uglavnom se odnosi na prihod od poreza na dohodak koji je veći za 17,1%.Razlog je sveukupno povećanje apsolutnog iznosa plaća osoba s prebivalištem na podru</w:t>
      </w:r>
      <w:r>
        <w:t>čju općine.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iz inozemstva i od subjekata unutar općeg proračuna (šifre </w:t>
            </w:r>
            <w:r>
              <w:rPr>
                <w:sz w:val="18"/>
              </w:rPr>
              <w:t>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315.317,40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732.154,20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232,2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 xml:space="preserve">Ove pomoći u odnosu na izvještajno razdoblje prethodne godine veće su za 132,2% i odnose se na tekuće pomoći od Općine Šolta za sufinanciranje rada vrtića u iznosu od 153.192,08€, zatim tekuće pomoći iz državnog proračuna u iznosu od 52.813,00€, Kapitalne </w:t>
      </w:r>
      <w:r>
        <w:t>pomoći iz državnog proračuna u iznosu od 415.000,00€, kapitalne pomoći iz županijskog proračuna u iznosu od 8.000,00€, kapitalne pomoći od Turističke zajednice Splitsko-dalmatinske županije u iznosu od 25.000,00€ te pomoći za fiskalno izravnanje u iznosu o</w:t>
      </w:r>
      <w:r>
        <w:t>d 73.149,12€.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4.770,65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8.237,39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172,7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Ovi prihodi u odnosu na izvještajno razdoblje prethodne godine veći su za 72,7% i uglavnom se odnose na zakup poslovnih prostora odnosno korištenje sportske dvorane.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22.836,98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30.648,81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134,2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Ovi prihodi u odnosu na izvještajno razdoblje prethodne godine bilježe rast za 34,2% iz razloga što je Općina od 1.1.2026. godine povećala bod za komunalnu naknadu.  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</w:t>
            </w:r>
            <w:r>
              <w:rPr>
                <w:b/>
                <w:sz w:val="18"/>
              </w:rPr>
              <w:t>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505.943,93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581.962,40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Rashodi poslovanja u odnosu na izvještajno razdoblje prethodne godine veći su za 15,0%. Najviše je došlo do promjena na skupini 32-materijalni rashodi i to za 39,9%  te skupini 36-Pomoći unutar općeg proračuna za 10,3%.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</w:t>
            </w:r>
            <w:r>
              <w:rPr>
                <w:b/>
                <w:sz w:val="18"/>
              </w:rPr>
              <w:t>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62.964,24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61.815,88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98,2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Rashodi za zaposlene manji su u odnosu na izvještajno razdoblje prethodne godine za 1,8%. Došlo je do smanjenja broja zaposlenih za jednu službenicu.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155.174,36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217.016,28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139,9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 xml:space="preserve">Materijalni rashodi u odnosu na isto izvještajno razdoblje prošle godine veći su za 39,9% ili za 61.841,92€. Kod ovih rashoda najznačajnije promjene desile su se na rashodima za materijal i energiju i oni su veći za 20,4% te na rashodima za usluge koje su </w:t>
      </w:r>
      <w:r>
        <w:t>veće za 57,9%. 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10.927,58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14.539,16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133,1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Ovi rashodi uglavnom se odnose na zatezne kamate po kreditu Privredne banke Zagreb te na usluge platnog prometa.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</w:t>
            </w:r>
            <w:r>
              <w:rPr>
                <w:b/>
                <w:sz w:val="18"/>
              </w:rPr>
              <w:t>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233.317,19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257.235,38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110,3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Ovi rashodi odnose se na prijenose proračunskom korisniku Dječjem vrtiću Maslačak i u onosu na isto izvještajno razdoblje prethodne godine veći su za 10,3%.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</w:t>
            </w:r>
            <w:r>
              <w:rPr>
                <w:b/>
                <w:sz w:val="18"/>
              </w:rPr>
              <w:t>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40.957,23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28.281,14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69,1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U ovoj skupini rashoda došlo je do smanjenja za 30,9%, a u najvećem djelu odnose se na sufinanciranja prijevoza putnika te na naknade socijalno ugrženim osobama kao i naknade za novorođenu djecu.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204.045,64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19.823,68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9,7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Ovi prihodi odnose se na prihode od pradaje građevinskog zemljišta u gospodarskoj zoni.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200.049,46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181.134,09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90,5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Ovi rashodi su u odnosu na isto izvještajno razdoblje prethodne godine manji za 9,5% i odnose se na izgradnju vanjskog igrališta, trga, izrada prostornih planova, izgradnja uzletno sletne staze te uređenje Etno eko kuće.</w:t>
      </w:r>
    </w:p>
    <w:p w:rsidR="00067658" w:rsidRDefault="00067658"/>
    <w:p w:rsidR="00067658" w:rsidRDefault="00915862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067658" w:rsidRDefault="00915862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067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765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06765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2.633.415,04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67658" w:rsidRDefault="009158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067658" w:rsidRDefault="00067658">
      <w:pPr>
        <w:spacing w:after="0"/>
      </w:pPr>
    </w:p>
    <w:p w:rsidR="00067658" w:rsidRDefault="00915862">
      <w:r>
        <w:t>Stanje dospjelih obveza na kraju izvještajnog razdoblja iznosile su 2.633.415,04€, a radi se u najvećem djelu o obvezama starim i preko 10 godina nad kojima je podignuta ovrha. Upravo da bi pokrila te obveze Općina je podnijela zahtjev Ministarstvu financi</w:t>
      </w:r>
      <w:r>
        <w:t>ja za bezkamatnim zajmom na rok otplate od 20 godina.</w:t>
      </w:r>
    </w:p>
    <w:p w:rsidR="00067658" w:rsidRDefault="00067658"/>
    <w:sectPr w:rsidR="00067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58"/>
    <w:rsid w:val="00067658"/>
    <w:rsid w:val="0091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0F289-D94A-4581-ACE9-E3F0ACC9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2026-07-13T17:40:00Z</dcterms:created>
  <dcterms:modified xsi:type="dcterms:W3CDTF">2026-07-13T17:40:00Z</dcterms:modified>
</cp:coreProperties>
</file>