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07A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C9" w:rsidRDefault="00750B6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07AC9" w:rsidRDefault="00750B6B">
            <w:pPr>
              <w:spacing w:after="0" w:line="240" w:lineRule="auto"/>
            </w:pPr>
            <w:r>
              <w:t>29935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C9" w:rsidRDefault="00750B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07AC9" w:rsidRDefault="00750B6B">
            <w:pPr>
              <w:spacing w:after="0" w:line="240" w:lineRule="auto"/>
            </w:pPr>
            <w:r>
              <w:t>OPĆINA PRIMORSKI DOLAC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7AC9" w:rsidRDefault="00750B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07AC9" w:rsidRDefault="00750B6B">
            <w:pPr>
              <w:spacing w:after="0" w:line="240" w:lineRule="auto"/>
            </w:pPr>
            <w:r>
              <w:t>22</w:t>
            </w:r>
          </w:p>
        </w:tc>
      </w:tr>
    </w:tbl>
    <w:p w:rsidR="00607AC9" w:rsidRDefault="00750B6B">
      <w:r>
        <w:br/>
      </w:r>
    </w:p>
    <w:p w:rsidR="00607AC9" w:rsidRDefault="00750B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07AC9" w:rsidRDefault="00750B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07AC9" w:rsidRDefault="00750B6B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235.044,92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245.400,12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239.214,39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302.086,73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607A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4.169,47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56.686,61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1359,6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26.309,21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134.342,88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607A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108.033,67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71.438,75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66,1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607A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607A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112.203,14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128.125,36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114,2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Općina Primorski Dolac za promatrano razdoblje ostvarila je manjak prihoda i primitaka u iznosu od 128.125,36€. Kad mu se doda preneseni manjak prihoda i primitaka u iznosu od 2.210.245,48€ onda ukupni manjak prihoda i primitaka za pokriće u sljedećem razd</w:t>
      </w:r>
      <w:r>
        <w:t>oblju iznosi 2.338.370,84€. U 2025. godini izvršeno je usklađenje obveza po očevidniku FINE tako da je znatno povećan manjak prihoda i primitaka u odnosu na početno stanje 2025. godine. Za pokriće navedenog manjka Općina Primorski Dolac je podnijela zahtje</w:t>
      </w:r>
      <w:r>
        <w:t xml:space="preserve">v Ministarstvu </w:t>
      </w:r>
      <w:r>
        <w:lastRenderedPageBreak/>
        <w:t>financija za dobivanje bezkamatnog zajma na rok otplate od 20 godina te bi s tim sredstvima pokrila navedene dugove i izišla iz blokade.</w:t>
      </w:r>
    </w:p>
    <w:p w:rsidR="00607AC9" w:rsidRDefault="00750B6B">
      <w:r>
        <w:br/>
      </w:r>
    </w:p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235.044,92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245.400,12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Prihodi poslovanja u odnosu na isto izvještajno razdoblje prethodne godine blago su porasli za 4,4%. 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65.988,65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Prihodi od poreza u odnosu na izvještajno razdoblje prethodne godine veći su za 17,4% i to povećanje uglavnom se odnosi na prihod od poreza na dohodak koji je veći za 13,9%.Razlog je sveukupno povećanje apsolutnog iznosa plaća osoba s prebivalištem na podr</w:t>
      </w:r>
      <w:r>
        <w:t>učju općine.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150.714,97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160.624,94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Ove pomoći u odnosu na izvještajno razdoblje prethodne godine veće su za 6,6% i odnose se na tekuće pomoći od Općine Šolta za sufinanciranje rada vrtića u iznosu od 74.087,38€, zatim tekuće pomoći iz državnog proračuna u iznosu od 31.963,00€, Kapitalne pom</w:t>
      </w:r>
      <w:r>
        <w:t>oći iz državnog proračuna u iznosu od 10.000,00€, kapitalne pomoći iz županijskog proračuna te pomoći za fiskalno izravnanje u iznosu od 36.574,56€.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prihodi u odnosu na izvještajno razdoblje prethodne godine veći su za 70,2% i uglavnom se odnose na zakup poslovnih prostora odnosno korištenje sportske dvorane.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prihodi u odnosu na izvještajno razdoblje prethodne godine bilježe pad za 66,5% iz razloga što za prvo tromjesječje zbog prilagodbe na novi računski modul nisu išla zaduženja. 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239.214,39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302.086,73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Rashodi poslovanja u odnosu na izvještajno razdoblje prethodne godine veći su za 26,3%. Najviše je došlo do promjena na podskupini 32-materijalni rashodi  te podskupini 36-Pomoći unutar općeg proračuna.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30.841,53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30.425,90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Rashodi za zaposlene manji su u odnosu na izvještajno razdoblje prethodne godine za 1,3%. Došlo je do smanjenja broja zaposlenih za jednu službenicu.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77.469,72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118.548,49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153,0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rashodi su u odnosu na izvještajno razdoblje prethodne godine veći za 53,0%. U okviru ovih rashoda najznačajnije promjene desile su se na rashodima za materijal i energiju i oni su veći za 19,0% te na rashodima za usluge koje su veće za 74,8%. Značajno</w:t>
      </w:r>
      <w:r>
        <w:t xml:space="preserve"> su porasle usluge za tekuće i investicijsko održavanje kao i ntelektualne usluge.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175,6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rashodi uglavnom se odnose na zatezne kamate po kreditu Privredne banke Zagreb te na usluge platnog prometa.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110.143,77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128.685,82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rashodi odnose se na prijenose proračunskom korisniku Dječjem vrtiću Maslačak i u onosu na isto izvještajno razdoblje prethodne godine veći su za 16,8%.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16.498,09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U ovoj skupini rashoda došlo je do povećanja za 4,4%, a u najvećem djelu odnose se na sufinanciranja prijevoza putnika te na naknade scijalno ugrženim osobama kao i naknade za novorođenu djecu.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26.309,21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rashodi odnose se na prihode od pradaje građevinskog zemljišta u gospodarskoj zoni.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134.342,88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Ovi rashodi su u odnosu na isto izvještajno razdoblje prethodne godine manji za 44,6% i odnose se na izgradnju vanjskog igrališta, trga i izrada prostornih planova.</w:t>
      </w:r>
    </w:p>
    <w:p w:rsidR="00607AC9" w:rsidRDefault="00607AC9"/>
    <w:p w:rsidR="00607AC9" w:rsidRDefault="00750B6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07AC9" w:rsidRDefault="00750B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7A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607A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2.714.844,71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7AC9" w:rsidRDefault="00750B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7AC9" w:rsidRDefault="00607AC9">
      <w:pPr>
        <w:spacing w:after="0"/>
      </w:pPr>
    </w:p>
    <w:p w:rsidR="00607AC9" w:rsidRDefault="00750B6B">
      <w:r>
        <w:t>Stanje dospjelih obveza na kraju izvještajnog razdoblja iznosile su 2.714.844,71€, a radi se u najvećem djelu o obvezama starim i preko 10 godina nad kojima je podignuta ovrha. Upravo da bi pokrila te obveze Općina je podnijela zahtjev Ministarstvu financi</w:t>
      </w:r>
      <w:r>
        <w:t>ja za bezkamatnim zajmom na rok otplate od 20 godina.</w:t>
      </w:r>
    </w:p>
    <w:p w:rsidR="00607AC9" w:rsidRDefault="00607AC9"/>
    <w:sectPr w:rsidR="0060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C9"/>
    <w:rsid w:val="00607AC9"/>
    <w:rsid w:val="007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839AE-82AE-4E26-882F-93B920B7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2026-04-14T18:00:00Z</dcterms:created>
  <dcterms:modified xsi:type="dcterms:W3CDTF">2026-04-14T18:00:00Z</dcterms:modified>
</cp:coreProperties>
</file>