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110eed809794bb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48890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MASLAČAK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398.924,21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573.357,44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409.986,37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570.086,77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3.270,67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3.270,67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Dječji vrtić Maslačak Primorski Dolac je u 2025. godini ostvario ukupni višak prihoda i primitaka u iznosu od 3.270,67€ i odnosi se na višak prihoda poslovanja. Imao je preneseni manjak prihoda poslovanja u iznosu od 49.898,55€ te preneseni manjak prihoda od nefinancijske imovine u iznosu od 2.257,10€ tako da je na kraju razdoblja bio ukupni manjak prihoda i primitaka za pokriće u sljedećem razdoblju u iznosu od 52.155,65€. Ovaj manjak u najvećem dijelu odnosi se na neisplaćene plaće za zaposlene za mjesec prosinac 2025. godine koje su isplaćene u siječnju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398.924,21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573.357,44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143,7</w:t>
            </w:r>
          </w:p>
        </w:tc>
      </w:tr>
    </w:tbl>
    <w:p>
      <w:pPr>
        <w:spacing w:before="0" w:after="0"/>
      </w:pPr>
    </w:p>
    <w:p>
      <w:r>
        <w:t xml:space="preserve">Ukupni prihodi poslovanja veći su u odnosu na isto izvještajno razdoblje za 43,7% ili za 174.433,23€. Zbog značajnije rasta plaća za zaposlene te dodatnog zapošljavanja trebalo je osigurati dodatna sredstva. Dječji vrtić Maslačak ima i područno odjeljenje u Šolti sukladno sporazumu između Općine Primorski Dolac i Općine Šolta o spajanju vrtića. Općina Šolta sufinancira troškove svog odjeljenja na način da po zahtjevu Općine Primorski Dolac uplaćuje sredstva na račun Općine Primorski Dolac koja kasnije vrši prijenos sredstava na račun vrtića. Dječji vrtić financira se i iz sredstava fiskalne održivosti dječjih vrtića koje dobiva Općina Primorski Dolac i vrši prijenos Dječjem vrtiću. Isto tako financira se i iz sredstava Općine Primoeski Dolac izvor 110-Opći prihodi i primici. Tu još ima prihode od uplata roditelja za sufinanciranje smještaja djece u vrtiću te uplata od nekoliko susjednih jedinica lokalne samouprave koje sufinanciraju boravak djece u vrtiću sa svog područja.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2860,4</w:t>
            </w:r>
          </w:p>
        </w:tc>
      </w:tr>
    </w:tbl>
    <w:p>
      <w:pPr>
        <w:spacing w:before="0" w:after="0"/>
      </w:pPr>
    </w:p>
    <w:p>
      <w:r>
        <w:t xml:space="preserve">Ovi prihodi odnose se na sufinanciranje nekoliko susjednih jedinica lokalne samouprave za djecu vrtiću sa svoga područja i znatno su veći u odnosu na isto izvještajno razdoblje prethodne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41.776,49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52.521,35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w:t>
            </w:r>
          </w:p>
        </w:tc>
      </w:tr>
    </w:tbl>
    <w:p>
      <w:pPr>
        <w:spacing w:before="0" w:after="0"/>
      </w:pPr>
    </w:p>
    <w:p>
      <w:r>
        <w:t xml:space="preserve">Ovi prihodi odnose se na sufinanciranje roditelja za boravak djece u vrtiću i veći su za 25,7% u odnosu na issto izvještajno razdoblje prethodne godine. Povećanje je uzrokovano većim brojem djece u vrtiću kao i blagi rast cijena proizvoda i usluga.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356.208,12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512.961,15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w:t>
            </w:r>
          </w:p>
        </w:tc>
      </w:tr>
    </w:tbl>
    <w:p>
      <w:pPr>
        <w:spacing w:before="0" w:after="0"/>
      </w:pPr>
    </w:p>
    <w:p>
      <w:r>
        <w:t xml:space="preserve">Ovi prihodi odnose se na uplatu sredstava iz proračuna Općine Primorski Dolac po izvorima 110-Opći prihodi i primici, 529-Prihodi iz općinskih proračuna(Općina Šolta) te izvora 511-Tekuće pomoći iz državnog proračuna(Fiskalna održivost dječjih vrtića).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334.582,35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473.401,70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w:t>
            </w:r>
          </w:p>
        </w:tc>
      </w:tr>
    </w:tbl>
    <w:p>
      <w:pPr>
        <w:spacing w:before="0" w:after="0"/>
      </w:pPr>
    </w:p>
    <w:p>
      <w:r>
        <w:t xml:space="preserve">Rashodi za zaposlene veći su za 41,5% ili za 138.819,35€ u odnosu na isto izvještajno razdoblje prethodne godine. Razlog je značajnije povećanje plaće kao i dodatno zapošljavanje.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74.599,27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95.856,71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w:t>
            </w:r>
          </w:p>
        </w:tc>
      </w:tr>
    </w:tbl>
    <w:p>
      <w:pPr>
        <w:spacing w:before="0" w:after="0"/>
      </w:pPr>
    </w:p>
    <w:p>
      <w:r>
        <w:t xml:space="preserve">Materijalni rashodi veći su u odnosu na isto izvještajno razdoblje prethodne godine za 28,5% ili za 21.257,44€. Zbog većeg broja djece i rasta cijena robe i usluga ovi rashodi su veći, a najviše dolazi do izražaja kod rashoda za materijal i sirovine(namirnice za djecu) šifra 3222.</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novčanih srestava na kraju izvještajnog razdoblja iznosi 0,00€ iz razloga što je 31.12.2025. godine ostatak sredstava na žiro računu prebačen na žiro račun Općine Primorski Dolac iz razloga što se žiro račun vrtića ukida i u 2026. godini prelazi se na sustav lokalne riznice.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w:t>
            </w:r>
          </w:p>
        </w:tc>
      </w:tr>
    </w:tbl>
    <w:p>
      <w:pPr>
        <w:spacing w:before="0" w:after="0"/>
      </w:pPr>
    </w:p>
    <w:p>
      <w:r>
        <w:t xml:space="preserve">Bilanca je uranotežena što znači da je Imovina jedanka ovezama i vlasitim izvorima i iznosi 2.295,98€. U 2025. godini nije bilo nabave nefinancijske imovine već je samo izvšrn ispravak vrijednosti i za taj dio vrijednost imovine je manja u odnosu na početno stanje.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48.957,26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u iznosu od 48.957,26€ odgovaraju stanju obveza u bilanci.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odnose se uglavnom na materijalne rashode koji će biti pokriveni u 2026. godini iz izvora 11-Opći prihodi i primici te izvora 43-Prihodi za posebne namjene(sufinanciranje boravka djece u vrtiću od strane roditelja).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42.243,86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na kraju izvještajnog razdoblja iznose 42.243,86€ i u najvećem djelu odnosno 39.149,23 odnosi se na obveze za zaposlene, a radi se o obračunatoj plaći za mjesec prosinac 2025. godine koja je isplaćena u siječnju 2026.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5ce977170c84edd" /></Relationships>
</file>