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4E235E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4E235E" w:rsidRDefault="00A2700F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4E235E" w:rsidRDefault="00A2700F">
            <w:pPr>
              <w:spacing w:after="0" w:line="240" w:lineRule="auto"/>
            </w:pPr>
            <w:r>
              <w:t>29935</w:t>
            </w:r>
          </w:p>
        </w:tc>
      </w:tr>
      <w:tr w:rsidR="004E235E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4E235E" w:rsidRDefault="00A2700F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4E235E" w:rsidRDefault="00A2700F">
            <w:pPr>
              <w:spacing w:after="0" w:line="240" w:lineRule="auto"/>
            </w:pPr>
            <w:r>
              <w:t>OPĆINA PRIMORSKI DOLAC</w:t>
            </w:r>
          </w:p>
        </w:tc>
      </w:tr>
      <w:tr w:rsidR="004E235E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4E235E" w:rsidRDefault="00A2700F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4E235E" w:rsidRDefault="00A2700F">
            <w:pPr>
              <w:spacing w:after="0" w:line="240" w:lineRule="auto"/>
            </w:pPr>
            <w:r>
              <w:t>23</w:t>
            </w:r>
          </w:p>
        </w:tc>
      </w:tr>
    </w:tbl>
    <w:p w:rsidR="004E235E" w:rsidRDefault="00A2700F">
      <w:r>
        <w:br/>
      </w:r>
    </w:p>
    <w:p w:rsidR="004E235E" w:rsidRDefault="00A2700F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4E235E" w:rsidRDefault="00A2700F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4E235E" w:rsidRDefault="00A2700F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4E235E" w:rsidRDefault="004E235E"/>
    <w:p w:rsidR="004E235E" w:rsidRDefault="00A2700F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4E235E" w:rsidRDefault="00A2700F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23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235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939.085,38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1.368.489,73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145,7</w:t>
            </w:r>
          </w:p>
        </w:tc>
      </w:tr>
      <w:tr w:rsidR="004E235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873.269,35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1.221.686,73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139,9</w:t>
            </w:r>
          </w:p>
        </w:tc>
      </w:tr>
      <w:tr w:rsidR="004E235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4E235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65.816,03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146.803,00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223,1</w:t>
            </w:r>
          </w:p>
        </w:tc>
      </w:tr>
      <w:tr w:rsidR="004E235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114.894,63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366.280,54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318,8</w:t>
            </w:r>
          </w:p>
        </w:tc>
      </w:tr>
      <w:tr w:rsidR="004E235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131.135,68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475.906,89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362,9</w:t>
            </w:r>
          </w:p>
        </w:tc>
      </w:tr>
      <w:tr w:rsidR="004E235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4E235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16.241,05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109.626,35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675,0</w:t>
            </w:r>
          </w:p>
        </w:tc>
      </w:tr>
      <w:tr w:rsidR="004E235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E235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</w:t>
            </w:r>
            <w:r>
              <w:rPr>
                <w:sz w:val="18"/>
              </w:rPr>
              <w:t xml:space="preserve">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19.956,94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92.500,00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463,5</w:t>
            </w:r>
          </w:p>
        </w:tc>
      </w:tr>
      <w:tr w:rsidR="004E235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4E235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19.956,94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92.500,00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463,5</w:t>
            </w:r>
          </w:p>
        </w:tc>
      </w:tr>
      <w:tr w:rsidR="004E235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4E235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55.323,35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4E235E" w:rsidRDefault="004E235E">
      <w:pPr>
        <w:spacing w:after="0"/>
      </w:pPr>
    </w:p>
    <w:p w:rsidR="004E235E" w:rsidRDefault="00A2700F">
      <w:r>
        <w:t>Općina Primorski Dolac ostvarila je za izvještajno razdoblje ukupni manjak prihoda i primitaka u iznosu od 55.323,35€ i to višak prihoda poslovanja u iznosu od 146.803,00€ , manjak prihoda od nefinancijske imovine u iznosu od 109.626,35€ te manjak primitak</w:t>
      </w:r>
      <w:r>
        <w:t xml:space="preserve">a od financijske imovine u iznosu od 92.500,00. Ukupno preneseni manjak prihoda i primitaka iznosio je 2.203.807,15€ tako da je na kraju izvještajnog razdoblja bio ukupni manjak prihoda i primitaka, raspoloživ za pokriće za sljedeće razdoblje, u iznosu od </w:t>
      </w:r>
      <w:r>
        <w:t xml:space="preserve">2.259.130,50€. Tokom izvještajnog razdoblja izvršeno je usklađenje obveza po očevidniku FINE tako da je znatno </w:t>
      </w:r>
      <w:r>
        <w:lastRenderedPageBreak/>
        <w:t>povećan manjak prihoda i primitaka u odnosu na početno stanje. Za pokriće navedenog manjka Općina Primorski Dolac je podnijela zahtjev Ministarst</w:t>
      </w:r>
      <w:r>
        <w:t>vu financija za dobivanje bezkamatnog zajma na rok otplate od 20 godina te bi s tim sredstvima pokrila navedene dugove i izišla iz blokade.</w:t>
      </w:r>
    </w:p>
    <w:p w:rsidR="004E235E" w:rsidRDefault="00A2700F">
      <w:r>
        <w:br/>
      </w:r>
    </w:p>
    <w:p w:rsidR="004E235E" w:rsidRDefault="00A2700F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23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235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939.085,38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1.368.489,73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145,7</w:t>
            </w:r>
          </w:p>
        </w:tc>
      </w:tr>
    </w:tbl>
    <w:p w:rsidR="004E235E" w:rsidRDefault="004E235E">
      <w:pPr>
        <w:spacing w:after="0"/>
      </w:pPr>
    </w:p>
    <w:p w:rsidR="004E235E" w:rsidRDefault="00A2700F">
      <w:r>
        <w:t>Prihodi poslovanja u odnosu na isto izvještajno razdoblje prethodne godine veći su za 45,7%. Najviše je došlo do promjena na skupini pomoći od inozemstva i od subjekata unutar općeg proračuna i to za 61,3% ili za 368.884,63€. Ovi prihodi u ukupnim prihodim</w:t>
      </w:r>
      <w:r>
        <w:t>a poslovanja sudjeluju sa 70,94%. Druga najvažnija skupina su prihodi od poreza koji u u ukupnim prihodima poslovanja sudjeluju sa 18,44%.</w:t>
      </w:r>
    </w:p>
    <w:p w:rsidR="004E235E" w:rsidRDefault="004E235E"/>
    <w:p w:rsidR="004E235E" w:rsidRDefault="00A2700F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23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</w:t>
            </w:r>
            <w:r>
              <w:rPr>
                <w:b/>
                <w:sz w:val="18"/>
              </w:rPr>
              <w:t>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235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poreza (šifre 611+612+613+614+615+616)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218.875,49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248.297,17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113,4</w:t>
            </w:r>
          </w:p>
        </w:tc>
      </w:tr>
    </w:tbl>
    <w:p w:rsidR="004E235E" w:rsidRDefault="004E235E">
      <w:pPr>
        <w:spacing w:after="0"/>
      </w:pPr>
    </w:p>
    <w:p w:rsidR="004E235E" w:rsidRDefault="00A2700F">
      <w:r>
        <w:t>Prihodi od poreza u odnosu na izvještajno razdoblje prethodne godine veći su za 13,4% i to povećanje uglavnom se odnosi na prihod od poreza na dohodak koji je veći za 9,9%.Razlog je sveukupno povećanje apsolutnog iznosa plaća osoba s prebivalištem na podru</w:t>
      </w:r>
      <w:r>
        <w:t>čju općine.</w:t>
      </w:r>
    </w:p>
    <w:p w:rsidR="004E235E" w:rsidRDefault="004E235E"/>
    <w:p w:rsidR="004E235E" w:rsidRDefault="00A2700F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23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235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Pomoći iz inozemstva i od subjekata unutar općeg proračuna (šifre </w:t>
            </w:r>
            <w:r>
              <w:rPr>
                <w:sz w:val="18"/>
              </w:rPr>
              <w:t>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602.034,93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970.919,56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161,3</w:t>
            </w:r>
          </w:p>
        </w:tc>
      </w:tr>
    </w:tbl>
    <w:p w:rsidR="004E235E" w:rsidRDefault="004E235E">
      <w:pPr>
        <w:spacing w:after="0"/>
      </w:pPr>
    </w:p>
    <w:p w:rsidR="004E235E" w:rsidRDefault="00A2700F">
      <w:r>
        <w:t>Ove pomoći u odnosu na izvještajno razdoblje prethodne godine veće su za 61,3% i odnose se na pomoći od države za fiskalno izravnanje u iznosu od 149.798,17€, pomoći za fiskalnu održivost dječjih vrtića u iznosu od 98.092,80€,tekuće pomoći od županije  u i</w:t>
      </w:r>
      <w:r>
        <w:t>znosu od 48.304,11€ , kapitalne pomoći županije za izgradnju vidikovca u iznosu od 13.000,00€, kapitalne pomoći županije za Vanjsko igralište 15.000,00€, kapitalne pomoći županije za autobusna stajališta 15.000,00€,kapitalne pomoći županije za izgadnju trg</w:t>
      </w:r>
      <w:r>
        <w:t xml:space="preserve">a u iznosu od </w:t>
      </w:r>
      <w:r>
        <w:lastRenderedPageBreak/>
        <w:t>25.000,00€,kapitalne pomoći iz državnog proračuna za izgradnju trga u općini u iznosu od 148.905,25€, kapitalne pomoći iz državnog proračuna za izgradnju dječjih igrališta u iznosu od 88.949,75€ te pomoći proračunskom korisniku iz proraračuna</w:t>
      </w:r>
      <w:r>
        <w:t xml:space="preserve"> koji im nije nadležan u iznosu od 7.873,96€.</w:t>
      </w:r>
    </w:p>
    <w:p w:rsidR="004E235E" w:rsidRDefault="004E235E"/>
    <w:p w:rsidR="004E235E" w:rsidRDefault="00A2700F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23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235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imovine (šifre 641+642+643)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14.092,57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16.574,00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117,6</w:t>
            </w:r>
          </w:p>
        </w:tc>
      </w:tr>
    </w:tbl>
    <w:p w:rsidR="004E235E" w:rsidRDefault="004E235E">
      <w:pPr>
        <w:spacing w:after="0"/>
      </w:pPr>
    </w:p>
    <w:p w:rsidR="004E235E" w:rsidRDefault="00A2700F">
      <w:r>
        <w:t>Ovi prihodi u odnosu na izvještajno razdoblje prethodne godine veći su za 17,6% i uglavnom se odnose na zakup poslovnih prostora odnosno korištenje sportske dvorane.</w:t>
      </w:r>
    </w:p>
    <w:p w:rsidR="004E235E" w:rsidRDefault="004E235E"/>
    <w:p w:rsidR="004E235E" w:rsidRDefault="00A2700F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23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</w:t>
            </w:r>
            <w:r>
              <w:rPr>
                <w:b/>
                <w:sz w:val="18"/>
              </w:rPr>
              <w:t xml:space="preserve">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235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77.297,54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91.125,75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117,9</w:t>
            </w:r>
          </w:p>
        </w:tc>
      </w:tr>
    </w:tbl>
    <w:p w:rsidR="004E235E" w:rsidRDefault="004E235E">
      <w:pPr>
        <w:spacing w:after="0"/>
      </w:pPr>
    </w:p>
    <w:p w:rsidR="004E235E" w:rsidRDefault="00A2700F">
      <w:r>
        <w:t>Ovi prihodi u odnosu na izvještajno razdoblje prethodne godine bilježe rast za 17,9%. U ovoj skupini prihoda najznačajniji su prihodi od hrvatskog telekoma za pravo služnosti u iznosu od 12.172,50€ , prihodi od komunalne naknade u iznosu od 24.588,87€ zati</w:t>
      </w:r>
      <w:r>
        <w:t>m prihod od sufinanciranja roditelja za boravak djece u vrtiću u iznosu od 52.521,35€.</w:t>
      </w:r>
    </w:p>
    <w:p w:rsidR="004E235E" w:rsidRDefault="004E235E"/>
    <w:p w:rsidR="004E235E" w:rsidRDefault="00A2700F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23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235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25.663,31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58,4</w:t>
            </w:r>
          </w:p>
        </w:tc>
      </w:tr>
    </w:tbl>
    <w:p w:rsidR="004E235E" w:rsidRDefault="004E235E">
      <w:pPr>
        <w:spacing w:after="0"/>
      </w:pPr>
    </w:p>
    <w:p w:rsidR="004E235E" w:rsidRDefault="00A2700F">
      <w:r>
        <w:t>Ovi prihodi odnose se na prihod od Turističke zajednice Županije Splitsko-dalmatinske za uređenje trga.</w:t>
      </w:r>
    </w:p>
    <w:p w:rsidR="004E235E" w:rsidRDefault="004E235E"/>
    <w:p w:rsidR="004E235E" w:rsidRDefault="00A2700F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23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235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Kazne, upravne mjere i ostali prihodi (šifre 681+683)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1.121,54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26.573,25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2369,4</w:t>
            </w:r>
          </w:p>
        </w:tc>
      </w:tr>
    </w:tbl>
    <w:p w:rsidR="004E235E" w:rsidRDefault="004E235E">
      <w:pPr>
        <w:spacing w:after="0"/>
      </w:pPr>
    </w:p>
    <w:p w:rsidR="004E235E" w:rsidRDefault="00A2700F">
      <w:r>
        <w:t>Ovi prihodi uglavnom se odnose na prihode od preuzimanja natječajne dokumentacije.</w:t>
      </w:r>
    </w:p>
    <w:p w:rsidR="004E235E" w:rsidRDefault="004E235E"/>
    <w:p w:rsidR="004E235E" w:rsidRDefault="00A2700F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23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235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873.269,35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1.221.686,73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139,9</w:t>
            </w:r>
          </w:p>
        </w:tc>
      </w:tr>
    </w:tbl>
    <w:p w:rsidR="004E235E" w:rsidRDefault="004E235E">
      <w:pPr>
        <w:spacing w:after="0"/>
      </w:pPr>
    </w:p>
    <w:p w:rsidR="004E235E" w:rsidRDefault="00A2700F">
      <w:r>
        <w:t>Rashodi poslovanja u odnosu na izvještajno razdoblje prethodne godine veći su za 39,9%. Najviše je došlo do promjena na podskupinama 31-Rashodi za zaposlene te na podskupini 32-materijalni rashodi.</w:t>
      </w:r>
    </w:p>
    <w:p w:rsidR="004E235E" w:rsidRDefault="004E235E"/>
    <w:p w:rsidR="004E235E" w:rsidRDefault="00A2700F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23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</w:t>
            </w:r>
            <w:r>
              <w:rPr>
                <w:b/>
                <w:sz w:val="18"/>
              </w:rPr>
              <w:t>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235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439.709,52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610.186,89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138,8</w:t>
            </w:r>
          </w:p>
        </w:tc>
      </w:tr>
    </w:tbl>
    <w:p w:rsidR="004E235E" w:rsidRDefault="004E235E">
      <w:pPr>
        <w:spacing w:after="0"/>
      </w:pPr>
    </w:p>
    <w:p w:rsidR="004E235E" w:rsidRDefault="00A2700F">
      <w:r>
        <w:t>Rashodi za zaposlene veći su u odnosu na izvještajno razdoblje prethodne godine za 38,8%. Razlog je značajnije povećanje plaća općinskih službenika i načelnika te zaposlenih u Dječjem vrtiću koje su povećane krajem prošle godine.</w:t>
      </w:r>
    </w:p>
    <w:p w:rsidR="004E235E" w:rsidRDefault="004E235E"/>
    <w:p w:rsidR="004E235E" w:rsidRDefault="00A2700F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23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</w:t>
            </w:r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235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349.801,45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504.223,64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144,1</w:t>
            </w:r>
          </w:p>
        </w:tc>
      </w:tr>
    </w:tbl>
    <w:p w:rsidR="004E235E" w:rsidRDefault="004E235E">
      <w:pPr>
        <w:spacing w:after="0"/>
      </w:pPr>
    </w:p>
    <w:p w:rsidR="004E235E" w:rsidRDefault="00A2700F">
      <w:r>
        <w:t>Ovi rashodi su u odnosu na izvještajno razdoblje prethodne godine veći za 44,1%. U okviru ovih rashoda najznačajnije promjene desile su se na rashodima za materijal i energiju i oni su veći za 26,0% te na rashodima za usluge koje su veće za 52,2%. Značajno</w:t>
      </w:r>
      <w:r>
        <w:t xml:space="preserve"> su porasle usluge za tekuće i investicijsko održavanje kao i ntelektualne usluge.</w:t>
      </w:r>
    </w:p>
    <w:p w:rsidR="004E235E" w:rsidRDefault="004E235E"/>
    <w:p w:rsidR="004E235E" w:rsidRDefault="00A2700F">
      <w:pPr>
        <w:keepNext/>
        <w:spacing w:line="240" w:lineRule="auto"/>
        <w:jc w:val="center"/>
      </w:pPr>
      <w:r>
        <w:rPr>
          <w:sz w:val="28"/>
        </w:rPr>
        <w:lastRenderedPageBreak/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23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235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rashodi (šifre 341+342+343)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29.754,37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24.896,92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83,7</w:t>
            </w:r>
          </w:p>
        </w:tc>
      </w:tr>
    </w:tbl>
    <w:p w:rsidR="004E235E" w:rsidRDefault="004E235E">
      <w:pPr>
        <w:spacing w:after="0"/>
      </w:pPr>
    </w:p>
    <w:p w:rsidR="004E235E" w:rsidRDefault="00A2700F">
      <w:r>
        <w:t>Ovi rashodi uglavnom se odnose na zatezne kamate po kreditu Privredne banke Zagreb te na usluge platnog prometa.</w:t>
      </w:r>
    </w:p>
    <w:p w:rsidR="004E235E" w:rsidRDefault="004E235E"/>
    <w:p w:rsidR="004E235E" w:rsidRDefault="00A2700F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23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235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dane u inozemstvo i unutar općeg proračuna (šifre 361+362+363+365+366+367+368+369)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1.393,21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4E235E" w:rsidRDefault="004E235E">
      <w:pPr>
        <w:spacing w:after="0"/>
      </w:pPr>
    </w:p>
    <w:p w:rsidR="004E235E" w:rsidRDefault="00A2700F">
      <w:r>
        <w:t>Ovi rashodi odnose se na pomoći Osnovnoj školi Primorski Dolac za van nastavne aktivnosti.</w:t>
      </w:r>
    </w:p>
    <w:p w:rsidR="004E235E" w:rsidRDefault="004E235E"/>
    <w:p w:rsidR="004E235E" w:rsidRDefault="00A2700F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23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235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na temelju osiguranja i druge naknade (šifre 371+372)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50.278,97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68.753,90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136,7</w:t>
            </w:r>
          </w:p>
        </w:tc>
      </w:tr>
    </w:tbl>
    <w:p w:rsidR="004E235E" w:rsidRDefault="004E235E">
      <w:pPr>
        <w:spacing w:after="0"/>
      </w:pPr>
    </w:p>
    <w:p w:rsidR="004E235E" w:rsidRDefault="00A2700F">
      <w:r>
        <w:t>U ovoj skupini rashoda došlo je do značajnog povećanja i ovi rashodi su veći za  18.474,93€, a to povećanje uglavnom se odnosi na povećanje sufinanciranja prijevoza putnika.</w:t>
      </w:r>
    </w:p>
    <w:p w:rsidR="004E235E" w:rsidRDefault="00A2700F">
      <w:r>
        <w:t> </w:t>
      </w:r>
    </w:p>
    <w:p w:rsidR="004E235E" w:rsidRDefault="004E235E"/>
    <w:p w:rsidR="004E235E" w:rsidRDefault="00A2700F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23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</w:t>
            </w:r>
            <w:r>
              <w:rPr>
                <w:b/>
                <w:sz w:val="18"/>
              </w:rPr>
              <w:t>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235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donacije, kazne, naknade šteta i kapitalne pomoći (šifre 381+382+383+386)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3.725,04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12.232,17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328,4</w:t>
            </w:r>
          </w:p>
        </w:tc>
      </w:tr>
    </w:tbl>
    <w:p w:rsidR="004E235E" w:rsidRDefault="004E235E">
      <w:pPr>
        <w:spacing w:after="0"/>
      </w:pPr>
    </w:p>
    <w:p w:rsidR="004E235E" w:rsidRDefault="00A2700F">
      <w:r>
        <w:t>Ovi rashodi odnose se na tekuće donacije udrugama i vjerskim zajednicama.</w:t>
      </w:r>
    </w:p>
    <w:p w:rsidR="004E235E" w:rsidRDefault="004E235E"/>
    <w:p w:rsidR="004E235E" w:rsidRDefault="00A2700F">
      <w:pPr>
        <w:keepNext/>
        <w:spacing w:line="240" w:lineRule="auto"/>
        <w:jc w:val="center"/>
      </w:pPr>
      <w:r>
        <w:rPr>
          <w:sz w:val="28"/>
        </w:rPr>
        <w:lastRenderedPageBreak/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23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235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</w:t>
            </w:r>
            <w:r>
              <w:rPr>
                <w:sz w:val="18"/>
              </w:rPr>
              <w:t>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114.894,63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366.280,54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318,8</w:t>
            </w:r>
          </w:p>
        </w:tc>
      </w:tr>
    </w:tbl>
    <w:p w:rsidR="004E235E" w:rsidRDefault="004E235E">
      <w:pPr>
        <w:spacing w:after="0"/>
      </w:pPr>
    </w:p>
    <w:p w:rsidR="004E235E" w:rsidRDefault="00A2700F">
      <w:r>
        <w:t>Ovi prihodi se odnose na prodaju građevinskog zemljišta u gospodarskoj zoni koji su znatno veći u odnosu na izvještajno razdoblje prethodne godine.</w:t>
      </w:r>
    </w:p>
    <w:p w:rsidR="004E235E" w:rsidRDefault="004E235E"/>
    <w:p w:rsidR="004E235E" w:rsidRDefault="00A2700F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23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r>
              <w:rPr>
                <w:b/>
                <w:sz w:val="18"/>
              </w:rPr>
              <w:t>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235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131.135,68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475.906,89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362,9</w:t>
            </w:r>
          </w:p>
        </w:tc>
      </w:tr>
    </w:tbl>
    <w:p w:rsidR="004E235E" w:rsidRDefault="004E235E">
      <w:pPr>
        <w:spacing w:after="0"/>
      </w:pPr>
    </w:p>
    <w:p w:rsidR="004E235E" w:rsidRDefault="00A2700F">
      <w:r>
        <w:t>Ovi rashodi su znatno veći u  odnosu na izvještajno razdoblje prethodne godine. U najvećoj mjeri radi se o modernizaciji nerazvrstanih cesta u iznosu od 45.674,70€, Izgradnji i opremanju vidikovca u iznosu od 53.957,00€,  izgradnji Boćališta u iznosu od 24</w:t>
      </w:r>
      <w:r>
        <w:t>.105,15€, izrada prostornog plana u iznosu od 12.812,50€ , izgradnja uzletno sletne piste u iznosu od 84.287,50€, izgradnja trga u iznosu od 100.199,45€, uređenje i opremanje Etno-eko kuće u iznosu od 47.688,38€ i druge manje nabave.</w:t>
      </w:r>
    </w:p>
    <w:p w:rsidR="004E235E" w:rsidRDefault="004E235E"/>
    <w:p w:rsidR="004E235E" w:rsidRDefault="00A2700F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23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</w:t>
            </w:r>
            <w:r>
              <w:rPr>
                <w:b/>
                <w:sz w:val="18"/>
              </w:rPr>
              <w:t xml:space="preserve">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235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5453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Otplata glavnice primljenih zajmova od tuzemnih trgovačkih društava izvan javnog sektora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92.500,00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4E235E" w:rsidRDefault="004E235E">
      <w:pPr>
        <w:spacing w:after="0"/>
      </w:pPr>
    </w:p>
    <w:p w:rsidR="004E235E" w:rsidRDefault="00A2700F">
      <w:r>
        <w:t>Radi se o otplati bezkamatnog kratkoročnog zajma primljenog od trgovačkog društva Acola d.o.o.</w:t>
      </w:r>
    </w:p>
    <w:p w:rsidR="004E235E" w:rsidRDefault="004E235E"/>
    <w:p w:rsidR="004E235E" w:rsidRDefault="00A2700F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4E235E" w:rsidRDefault="00A2700F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23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235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4E235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(šifre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6.163.239,55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6.456.937,20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104,8</w:t>
            </w:r>
          </w:p>
        </w:tc>
      </w:tr>
    </w:tbl>
    <w:p w:rsidR="004E235E" w:rsidRDefault="004E235E">
      <w:pPr>
        <w:spacing w:after="0"/>
      </w:pPr>
    </w:p>
    <w:p w:rsidR="004E235E" w:rsidRDefault="00A2700F">
      <w:r>
        <w:lastRenderedPageBreak/>
        <w:t>Ukupna nefinancijska i financijska imovina iznosi 6.456.937,20€ i veća je u odnosu na početno stanje za 4,8% i odgovara iznosu Obvezama i vlastitim izvorima. </w:t>
      </w:r>
    </w:p>
    <w:p w:rsidR="004E235E" w:rsidRDefault="004E235E"/>
    <w:p w:rsidR="004E235E" w:rsidRDefault="00A2700F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23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235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Nefinancijska imovina (šifre 01+02+03+04+05+06)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5.405.714,05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5.457.528,63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101,0</w:t>
            </w:r>
          </w:p>
        </w:tc>
      </w:tr>
    </w:tbl>
    <w:p w:rsidR="004E235E" w:rsidRDefault="004E235E">
      <w:pPr>
        <w:spacing w:after="0"/>
      </w:pPr>
    </w:p>
    <w:p w:rsidR="004E235E" w:rsidRDefault="00A2700F">
      <w:r>
        <w:t>Nefinancijskaimovina je u odnosu na početo stanje veća za 1,0%. S datumom 31.12.2025. godine izvršen je ispravak vrijednosti dugotrajne nefinancijske imovine po propisanim stopama.</w:t>
      </w:r>
    </w:p>
    <w:p w:rsidR="004E235E" w:rsidRDefault="004E235E"/>
    <w:p w:rsidR="004E235E" w:rsidRDefault="00A2700F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23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</w:t>
            </w:r>
            <w:r>
              <w:rPr>
                <w:b/>
                <w:sz w:val="18"/>
              </w:rPr>
              <w:t>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235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Financijska imovina (šifre 11+12+13+14+15+16+17+19)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757.525,50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999.408,57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131,9</w:t>
            </w:r>
          </w:p>
        </w:tc>
      </w:tr>
    </w:tbl>
    <w:p w:rsidR="004E235E" w:rsidRDefault="004E235E">
      <w:pPr>
        <w:spacing w:after="0"/>
      </w:pPr>
    </w:p>
    <w:p w:rsidR="004E235E" w:rsidRDefault="00A2700F">
      <w:r>
        <w:t>Financijska imovina je u odnosu na početno stanje veća za 32,4%. Potraživanja na skupini 15 odgovara računu 91112 kao i potraživanja na skupini 16 koja odgovara skupini 96.</w:t>
      </w:r>
    </w:p>
    <w:p w:rsidR="004E235E" w:rsidRDefault="004E235E"/>
    <w:p w:rsidR="004E235E" w:rsidRDefault="00A2700F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23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31. </w:t>
            </w:r>
            <w:r>
              <w:rPr>
                <w:b/>
                <w:sz w:val="18"/>
              </w:rPr>
              <w:t>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235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(šifre 23+24+25+26+27+29)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1.488.461,59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2.768.477,78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186,0</w:t>
            </w:r>
          </w:p>
        </w:tc>
      </w:tr>
    </w:tbl>
    <w:p w:rsidR="004E235E" w:rsidRDefault="004E235E">
      <w:pPr>
        <w:spacing w:after="0"/>
      </w:pPr>
    </w:p>
    <w:p w:rsidR="004E235E" w:rsidRDefault="00A2700F">
      <w:r>
        <w:t>Ukupne obveze u odnosu na početno stanje veće su za 86,0% i iznose 2.768.477,78€. Ovo povećanje obveza rezultiralo je zavođenjem obveza po očevidniku FINE koja provodi ovršne predmete i radi se uglavnom o obvezama iz prijašnjih godina koje nisu bile eviden</w:t>
      </w:r>
      <w:r>
        <w:t>tirane.</w:t>
      </w:r>
    </w:p>
    <w:p w:rsidR="004E235E" w:rsidRDefault="00A2700F">
      <w:r>
        <w:t>Obveze na skupini 26-obveze za zajmove odgovaraju računu 91211.</w:t>
      </w:r>
    </w:p>
    <w:p w:rsidR="004E235E" w:rsidRDefault="004E235E"/>
    <w:p w:rsidR="004E235E" w:rsidRDefault="00A2700F">
      <w:pPr>
        <w:keepNext/>
        <w:spacing w:line="240" w:lineRule="auto"/>
        <w:jc w:val="center"/>
      </w:pPr>
      <w:r>
        <w:rPr>
          <w:sz w:val="28"/>
        </w:rPr>
        <w:lastRenderedPageBreak/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23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235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-831.113,25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-2.259.130,50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271,8</w:t>
            </w:r>
          </w:p>
        </w:tc>
      </w:tr>
    </w:tbl>
    <w:p w:rsidR="004E235E" w:rsidRDefault="004E235E">
      <w:pPr>
        <w:spacing w:after="0"/>
      </w:pPr>
    </w:p>
    <w:p w:rsidR="004E235E" w:rsidRDefault="00A2700F">
      <w:r>
        <w:t>Ostvaren je ukupni manjak prihoda i primitaka u iznosu od 2.259.130,50€ i odgovara iznosu u PR-RAS-u manjak prihoda i primitaka raspoloživ za pokriće obveza u budućem razdoblju. U najvećoj mjeri povećanje manjka rezultiralo je zavođenjem obveza po očevidni</w:t>
      </w:r>
      <w:r>
        <w:t>ku FINE na teret manjka prihoda.</w:t>
      </w:r>
    </w:p>
    <w:p w:rsidR="004E235E" w:rsidRDefault="004E235E"/>
    <w:p w:rsidR="004E235E" w:rsidRDefault="00A2700F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23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235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3.558,53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230.923,50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6489,3</w:t>
            </w:r>
          </w:p>
        </w:tc>
      </w:tr>
    </w:tbl>
    <w:p w:rsidR="004E235E" w:rsidRDefault="004E235E">
      <w:pPr>
        <w:spacing w:after="0"/>
      </w:pPr>
    </w:p>
    <w:p w:rsidR="004E235E" w:rsidRDefault="00A2700F">
      <w:r>
        <w:t>Ovi obračunati prihodi odnose se na potraživanja iz državnog proračuna po sklopljenim ugovorima za razne projekte i značajno su veći u odnosu na početno stanje jer se u 2024. godini nisu obračunavali prihodi po sklopljenim ugovorima.</w:t>
      </w:r>
    </w:p>
    <w:p w:rsidR="004E235E" w:rsidRDefault="004E235E"/>
    <w:p w:rsidR="004E235E" w:rsidRDefault="00A2700F">
      <w:pPr>
        <w:keepNext/>
        <w:spacing w:line="240" w:lineRule="auto"/>
        <w:jc w:val="center"/>
      </w:pPr>
      <w:r>
        <w:rPr>
          <w:b/>
          <w:sz w:val="28"/>
        </w:rPr>
        <w:t>Izvještaj o rashodima</w:t>
      </w:r>
      <w:r>
        <w:rPr>
          <w:b/>
          <w:sz w:val="28"/>
        </w:rPr>
        <w:t xml:space="preserve"> prema funkcijskoj klasifikaciji</w:t>
      </w:r>
    </w:p>
    <w:p w:rsidR="004E235E" w:rsidRDefault="00A2700F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23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235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4E235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Kontrolni zbroj (šifre 01+02+03+04+05+06+07+08+09+10)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1.004.405,03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1.697.593,62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169,0</w:t>
            </w:r>
          </w:p>
        </w:tc>
      </w:tr>
    </w:tbl>
    <w:p w:rsidR="004E235E" w:rsidRDefault="004E235E">
      <w:pPr>
        <w:spacing w:after="0"/>
      </w:pPr>
    </w:p>
    <w:p w:rsidR="004E235E" w:rsidRDefault="00A2700F">
      <w:r>
        <w:t>Ukupni rashodi razvrstani po funkcijskoj klasifikaciji iznosili su 1.697.593,62€ i odgovaraju ukupnim rashodima u PR-RAS-u.</w:t>
      </w:r>
    </w:p>
    <w:p w:rsidR="004E235E" w:rsidRDefault="004E235E"/>
    <w:p w:rsidR="004E235E" w:rsidRDefault="00A2700F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4E235E" w:rsidRDefault="00A2700F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E23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235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4E235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423.945,84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4E235E" w:rsidRDefault="004E235E">
      <w:pPr>
        <w:spacing w:after="0"/>
      </w:pPr>
    </w:p>
    <w:p w:rsidR="004E235E" w:rsidRDefault="00A2700F">
      <w:r>
        <w:lastRenderedPageBreak/>
        <w:t>Ovaj iznos smanjenja vrijednosti dugotrajne imovine odnosi se na redoviti ispravak vrijednosti dugotrajne imovine.</w:t>
      </w:r>
    </w:p>
    <w:p w:rsidR="004E235E" w:rsidRDefault="004E235E"/>
    <w:p w:rsidR="004E235E" w:rsidRDefault="00A2700F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4E235E" w:rsidRDefault="00A2700F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4E23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235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financijske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380.609,05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4E235E" w:rsidRDefault="004E235E">
      <w:pPr>
        <w:spacing w:after="0"/>
      </w:pPr>
    </w:p>
    <w:p w:rsidR="004E235E" w:rsidRDefault="00A2700F">
      <w:r>
        <w:t>Povećanje ovih obveza uglavnom se odnosi na knjiženje obveza po očevidniku FINE koje su predmet ovrhe.</w:t>
      </w:r>
    </w:p>
    <w:p w:rsidR="004E235E" w:rsidRDefault="004E235E"/>
    <w:p w:rsidR="004E235E" w:rsidRDefault="00A2700F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4E23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235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4E235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2.685.371,56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4E235E" w:rsidRDefault="004E235E">
      <w:pPr>
        <w:spacing w:after="0"/>
      </w:pPr>
    </w:p>
    <w:p w:rsidR="004E235E" w:rsidRDefault="00A2700F">
      <w:r>
        <w:t>Stanje dospjelih obveza na kraju izvještajnog razdoblja iznosile su 2.685.371,56€, a radi se u najvećem djelu o obvezama starim i preko 10 godina nad kojima je podignuta ovrha. Upravo da bi pokrila te obveze Općina je podnijela zahtjev Ministarstvu financi</w:t>
      </w:r>
      <w:r>
        <w:t>ja za bezkamatnim zajmom na rok otplate od 20 godina.</w:t>
      </w:r>
    </w:p>
    <w:p w:rsidR="004E235E" w:rsidRDefault="004E235E"/>
    <w:p w:rsidR="004E235E" w:rsidRDefault="00A2700F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4E23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235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nabavu nefinancijske imovine (šifre D24A do D24D)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680.134,09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235E" w:rsidRDefault="00A2700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4E235E" w:rsidRDefault="004E235E">
      <w:pPr>
        <w:spacing w:after="0"/>
      </w:pPr>
    </w:p>
    <w:p w:rsidR="004E235E" w:rsidRDefault="00A2700F">
      <w:r>
        <w:t>Najveći dio ovih obveza odnosi se na stare obveze koje su predmet ovrhe i usklađene su sa očevidnikom FINE.</w:t>
      </w:r>
    </w:p>
    <w:p w:rsidR="004E235E" w:rsidRDefault="004E235E"/>
    <w:p w:rsidR="004E235E" w:rsidRDefault="00A2700F">
      <w:pPr>
        <w:keepNext/>
        <w:spacing w:line="240" w:lineRule="auto"/>
        <w:jc w:val="center"/>
      </w:pPr>
      <w:r>
        <w:rPr>
          <w:sz w:val="28"/>
        </w:rPr>
        <w:t>Bilješka 30.</w:t>
      </w:r>
    </w:p>
    <w:p w:rsidR="004E235E" w:rsidRDefault="00A2700F">
      <w:pPr>
        <w:spacing w:line="240" w:lineRule="auto"/>
        <w:jc w:val="both"/>
      </w:pPr>
      <w:r>
        <w:rPr>
          <w:b/>
        </w:rPr>
        <w:t>Unutargrupne transakcije koje su u izvještajima eliminirane</w:t>
      </w:r>
    </w:p>
    <w:p w:rsidR="004E235E" w:rsidRDefault="00A2700F">
      <w:r>
        <w:t>Općina Primorski Dolac nije imala unutargrupnih transakcija koje su u izvj</w:t>
      </w:r>
      <w:r>
        <w:t>eštajnom razdoblju eliminirane, primjerice, Općina nema potraživanja prema proračunskom korisniku Dječjem vrtiću koja su istodobno obveza proračunskog korisnika prema Općini.</w:t>
      </w:r>
    </w:p>
    <w:p w:rsidR="004E235E" w:rsidRDefault="004E235E"/>
    <w:p w:rsidR="004E235E" w:rsidRDefault="00A2700F">
      <w:pPr>
        <w:keepNext/>
        <w:spacing w:line="240" w:lineRule="auto"/>
        <w:jc w:val="center"/>
      </w:pPr>
      <w:r>
        <w:rPr>
          <w:sz w:val="28"/>
        </w:rPr>
        <w:lastRenderedPageBreak/>
        <w:t>Bilješka 31.</w:t>
      </w:r>
    </w:p>
    <w:p w:rsidR="004E235E" w:rsidRDefault="00A2700F">
      <w:pPr>
        <w:spacing w:line="240" w:lineRule="auto"/>
        <w:jc w:val="both"/>
      </w:pPr>
      <w:r>
        <w:rPr>
          <w:b/>
        </w:rPr>
        <w:t>Manjak ili višak u poslovanju grupe i pregled strukture manjka/višk</w:t>
      </w:r>
      <w:r>
        <w:rPr>
          <w:b/>
        </w:rPr>
        <w:t xml:space="preserve">a po proračunskim korisnicima </w:t>
      </w:r>
    </w:p>
    <w:p w:rsidR="004E235E" w:rsidRDefault="00A2700F">
      <w:r>
        <w:t>Općina Primorski Dolac na kraju izvještajnog razdoblja imala je ukupni manjak prihoda i primitaka za pokriće u sljedećem razdoblju u iznosu od 2.210.245,52€ dok je proračunski korisnik Dječji vrtić imao manjak prihoda i primi</w:t>
      </w:r>
      <w:r>
        <w:t>tak za pokriće u sljedećem razdoblju u iznosu od 48.884,98€.</w:t>
      </w:r>
    </w:p>
    <w:p w:rsidR="004E235E" w:rsidRDefault="004E235E"/>
    <w:sectPr w:rsidR="004E2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35E"/>
    <w:rsid w:val="004E235E"/>
    <w:rsid w:val="00A2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D33A7-BA02-4037-9E68-7DFE2F2AC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7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0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2358</Words>
  <Characters>13446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cp:lastPrinted>2026-02-26T09:02:00Z</cp:lastPrinted>
  <dcterms:created xsi:type="dcterms:W3CDTF">2026-02-26T09:02:00Z</dcterms:created>
  <dcterms:modified xsi:type="dcterms:W3CDTF">2026-02-26T09:02:00Z</dcterms:modified>
</cp:coreProperties>
</file>