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D83DB" w14:textId="16F7ED45" w:rsidR="003E2819" w:rsidRDefault="00D5202E">
      <w:r>
        <w:rPr>
          <w:rFonts w:ascii="Roboto" w:hAnsi="Roboto"/>
          <w:color w:val="2A2D30"/>
          <w:shd w:val="clear" w:color="auto" w:fill="FFFFFF"/>
        </w:rPr>
        <w:t>Prijaviti se mogu vlasnici i suvlasnici čije kuće imaju do 600 m2 ili do tri stambene jedinice te više od 50% površine namijenjene stanovanju. Prijavitelji u toj kući moraju imati prebivalište, uredno vlasništvo i dokaz da je objekt u potpunosti legalan. Ukoliko je kuća oštećena u potresu moguće je dobiti 80% prihvatljivih troškova investicije, dok građani čije kuće nisu oštećene potresom mogu računati na 60%-tno sufinanciranje. Ovisno o postotnom učešću i mjerama koje će se primijeniti kod energetske obnove maksimalni iznos poticaja iznosit će 62.120,00 eura po prijavi.</w:t>
      </w:r>
      <w:r>
        <w:rPr>
          <w:rFonts w:ascii="Roboto" w:hAnsi="Roboto"/>
          <w:color w:val="2A2D30"/>
        </w:rPr>
        <w:br/>
      </w:r>
      <w:r>
        <w:rPr>
          <w:rFonts w:ascii="Roboto" w:hAnsi="Roboto"/>
          <w:color w:val="2A2D30"/>
          <w:shd w:val="clear" w:color="auto" w:fill="FFFFFF"/>
        </w:rPr>
        <w:t> </w:t>
      </w:r>
      <w:r>
        <w:rPr>
          <w:rFonts w:ascii="Roboto" w:hAnsi="Roboto"/>
          <w:color w:val="2A2D30"/>
        </w:rPr>
        <w:br/>
      </w:r>
      <w:r>
        <w:rPr>
          <w:rFonts w:ascii="Roboto" w:hAnsi="Roboto"/>
          <w:color w:val="2A2D30"/>
          <w:shd w:val="clear" w:color="auto" w:fill="FFFFFF"/>
        </w:rPr>
        <w:t>Pri određivanju visine poticaja Fond se rukovodio aktualnim tržišnim cijenama građevinskog materijala, usluga i opreme potrebne za sustave korištenja obnovljivih izvora energije, a sve s namjerom da energetska obnova građanima bude financijski što prihvatljivija.</w:t>
      </w:r>
      <w:r>
        <w:rPr>
          <w:rFonts w:ascii="Roboto" w:hAnsi="Roboto"/>
          <w:color w:val="2A2D30"/>
        </w:rPr>
        <w:br/>
      </w:r>
      <w:r>
        <w:rPr>
          <w:rFonts w:ascii="Roboto" w:hAnsi="Roboto"/>
          <w:color w:val="2A2D30"/>
          <w:shd w:val="clear" w:color="auto" w:fill="FFFFFF"/>
        </w:rPr>
        <w:t> </w:t>
      </w:r>
      <w:r>
        <w:rPr>
          <w:rFonts w:ascii="Roboto" w:hAnsi="Roboto"/>
          <w:color w:val="2A2D30"/>
        </w:rPr>
        <w:br/>
      </w:r>
      <w:r>
        <w:rPr>
          <w:rFonts w:ascii="Roboto" w:hAnsi="Roboto"/>
          <w:color w:val="2A2D30"/>
          <w:shd w:val="clear" w:color="auto" w:fill="FFFFFF"/>
        </w:rPr>
        <w:t>Vlasnici obiteljskih kuća bespovratna sredstva mogu dobiti za mjere povećanja toplinske zaštite ovojnice koja uključuje bolju toplinsku izolaciju vanjskih zidova i korova te zamjenu vanjske stolarije. Uz to sredstva se mogu dobiti za ugradnju dizalica topline, sunčanih toplinskih kolektora te kotlova na pelete. Što se tiče ugradnje fotonaponskih elektrana za proizvodnju električne energije za vlastitu potrošnju njih će Fond, kao i u već ranijim javnim pozivima, sufinancirati s 50% sredstava. Građanima koji odluče ugraditi solarnu elektranu, a imaju ili namjeravaju kupiti električno vozilo, sigurno će biti interesantna i mogućnost dobivanja sredstva za kućnu punionicu.</w:t>
      </w:r>
      <w:r>
        <w:rPr>
          <w:rFonts w:ascii="Roboto" w:hAnsi="Roboto"/>
          <w:color w:val="2A2D30"/>
        </w:rPr>
        <w:br/>
      </w:r>
      <w:r>
        <w:rPr>
          <w:rFonts w:ascii="Roboto" w:hAnsi="Roboto"/>
          <w:color w:val="2A2D30"/>
          <w:shd w:val="clear" w:color="auto" w:fill="FFFFFF"/>
        </w:rPr>
        <w:t> </w:t>
      </w:r>
      <w:r>
        <w:rPr>
          <w:rFonts w:ascii="Roboto" w:hAnsi="Roboto"/>
          <w:color w:val="2A2D30"/>
        </w:rPr>
        <w:br/>
      </w:r>
      <w:r>
        <w:rPr>
          <w:rFonts w:ascii="Roboto" w:hAnsi="Roboto"/>
          <w:color w:val="2A2D30"/>
          <w:shd w:val="clear" w:color="auto" w:fill="FFFFFF"/>
        </w:rPr>
        <w:t>Obiteljske kuće čija će se energetska obnova poticati, osim u slučaju kad se traži samo sufinanciranje fotonaponske elektrane, moraju biti energetski certificirane. Ako se provodi cjelovita energetska obnova ili se povećava toplinska izolacija vanjske ovojnice kuća mora biti energetskog razreda D ili lošijeg u kontinentalnoj Hrvatskoj odnosno C ili lošijeg u primorskoj Hrvatskoj. U slučaju da se ugrađuju sustavi grijanja/hlađenja i pripreme potrošne tople vode korištenjem obnovljivih izvora energije energetski razred obiteljske kuće mora biti C ili bolji u kontinentalnoj Hrvatskoj odnosno B ili bolji u primorskoj Hrvatskoj.</w:t>
      </w:r>
      <w:r>
        <w:rPr>
          <w:rFonts w:ascii="Roboto" w:hAnsi="Roboto"/>
          <w:color w:val="2A2D30"/>
        </w:rPr>
        <w:br/>
      </w:r>
      <w:r>
        <w:rPr>
          <w:rFonts w:ascii="Roboto" w:hAnsi="Roboto"/>
          <w:color w:val="2A2D30"/>
          <w:shd w:val="clear" w:color="auto" w:fill="FFFFFF"/>
        </w:rPr>
        <w:t> </w:t>
      </w:r>
      <w:r>
        <w:rPr>
          <w:rFonts w:ascii="Roboto" w:hAnsi="Roboto"/>
          <w:color w:val="2A2D30"/>
        </w:rPr>
        <w:br/>
      </w:r>
      <w:r>
        <w:rPr>
          <w:rFonts w:ascii="Roboto" w:hAnsi="Roboto"/>
          <w:color w:val="2A2D30"/>
          <w:shd w:val="clear" w:color="auto" w:fill="FFFFFF"/>
        </w:rPr>
        <w:t>Podnošenje prijava će započeti danom objave javnog poziva za energetsku obnovu obiteljskih kuća, a najkasnije koncem veljače 2024. godine. Građani će svoje prijave podnositi elektronički, koristeći NIAS sustav, a poveznica na elektroničku uslugu, kao i upute za korisnike sa svim pripadajućim prijavnim obrascima, bit će dostupni u sklopu dokumentacije poziva. Prihvatljiv trošak je i angažiranje stručno-tehničke pomoći radi pripreme cijelog projekta, a prijaviteljima je dana i mogućnost da opunomoće drugu osobu koja može prijavu izvršiti umjesto njih.</w:t>
      </w:r>
      <w:r>
        <w:rPr>
          <w:rFonts w:ascii="Roboto" w:hAnsi="Roboto"/>
          <w:color w:val="2A2D30"/>
        </w:rPr>
        <w:br/>
      </w:r>
      <w:r>
        <w:rPr>
          <w:rFonts w:ascii="Roboto" w:hAnsi="Roboto"/>
          <w:color w:val="2A2D30"/>
          <w:shd w:val="clear" w:color="auto" w:fill="FFFFFF"/>
        </w:rPr>
        <w:t> </w:t>
      </w:r>
      <w:r>
        <w:rPr>
          <w:rFonts w:ascii="Roboto" w:hAnsi="Roboto"/>
          <w:color w:val="2A2D30"/>
        </w:rPr>
        <w:br/>
      </w:r>
      <w:r>
        <w:rPr>
          <w:rFonts w:ascii="Roboto" w:hAnsi="Roboto"/>
          <w:color w:val="2A2D30"/>
          <w:shd w:val="clear" w:color="auto" w:fill="FFFFFF"/>
        </w:rPr>
        <w:t>U želji da građanima približimo uvjete javnog poziva i odgovorimo na sva njihova pitanja Fond će organizirati i informativno-edukativne radionice, a sve prezentacije i materijali s istih ćemo istaknuti  na mrežnoj stranici.</w:t>
      </w:r>
      <w:r>
        <w:rPr>
          <w:rFonts w:ascii="Roboto" w:hAnsi="Roboto"/>
          <w:color w:val="2A2D30"/>
        </w:rPr>
        <w:br/>
      </w:r>
      <w:r>
        <w:rPr>
          <w:rFonts w:ascii="Roboto" w:hAnsi="Roboto"/>
          <w:color w:val="2A2D30"/>
          <w:shd w:val="clear" w:color="auto" w:fill="FFFFFF"/>
        </w:rPr>
        <w:t> </w:t>
      </w:r>
      <w:r>
        <w:rPr>
          <w:rFonts w:ascii="Roboto" w:hAnsi="Roboto"/>
          <w:color w:val="2A2D30"/>
        </w:rPr>
        <w:br/>
      </w:r>
      <w:r>
        <w:rPr>
          <w:rFonts w:ascii="Roboto" w:hAnsi="Roboto"/>
          <w:color w:val="2A2D30"/>
          <w:shd w:val="clear" w:color="auto" w:fill="FFFFFF"/>
        </w:rPr>
        <w:t>Cilj ovog programa koji Fond provodi u suradnji s Ministarstvom prostornoga uređenja, graditeljstva i državne imovine te Ministarstvom gospodarstva i održivog razvoja je dodatno potaknuti primjenu mjera energetske učinkovitosti i korištenja obnovljivih izvora energije u obiteljskim kućama. Na taj način, osim smanjenja štetnih emisija,  smanjit će se količina potrebne energije za zagrijavanje i hlađenje prostora, osigurati financijske uštede te povećati udobnosti i kvaliteta boravka u obiteljskim kućama.</w:t>
      </w:r>
    </w:p>
    <w:sectPr w:rsidR="003E2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70B32"/>
    <w:rsid w:val="003E2819"/>
    <w:rsid w:val="00B70B32"/>
    <w:rsid w:val="00D5202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E7A19-6585-4E7C-AABA-81A9B0A6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Pročelnik Primorski Dolac</dc:creator>
  <cp:keywords/>
  <dc:description/>
  <cp:lastModifiedBy>Pročelnik Primorski Dolac</cp:lastModifiedBy>
  <cp:revision>3</cp:revision>
  <dcterms:created xsi:type="dcterms:W3CDTF">2024-01-03T07:53:00Z</dcterms:created>
  <dcterms:modified xsi:type="dcterms:W3CDTF">2024-01-03T07:53:00Z</dcterms:modified>
</cp:coreProperties>
</file>